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Y="906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1701"/>
        <w:gridCol w:w="1701"/>
        <w:gridCol w:w="1736"/>
        <w:gridCol w:w="1601"/>
      </w:tblGrid>
      <w:tr w:rsidR="00EC77FA" w:rsidTr="00EC77FA">
        <w:trPr>
          <w:trHeight w:val="32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Předmět </w:t>
            </w:r>
          </w:p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rozpočtového výhledu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2020</w:t>
            </w:r>
          </w:p>
        </w:tc>
      </w:tr>
      <w:tr w:rsidR="00EC77FA" w:rsidTr="00EC77FA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FA" w:rsidRDefault="00EC77FA" w:rsidP="00EC77FA">
            <w:pPr>
              <w:spacing w:after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Kč</w:t>
            </w: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4 450 000,--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4 550 000,--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4 460 000,--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4 460 000,--</w:t>
            </w: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Nedaňové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455 000,--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460 000,--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460 000,--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460 000,--</w:t>
            </w: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Přijaté dotace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74 000,--</w:t>
            </w:r>
          </w:p>
        </w:tc>
      </w:tr>
      <w:tr w:rsidR="00EC77FA" w:rsidTr="00EC77FA"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z toho: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C77FA" w:rsidTr="00EC77FA">
        <w:trPr>
          <w:trHeight w:val="6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4112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nein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. dotace přijaté v rámci souhrn.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dot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. vztahu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74 000,--</w:t>
            </w:r>
          </w:p>
        </w:tc>
      </w:tr>
      <w:tr w:rsidR="00EC77FA" w:rsidTr="00EC77FA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4 979 000,--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4 989 000,--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4 994 000,--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4 994 000,--</w:t>
            </w:r>
          </w:p>
        </w:tc>
      </w:tr>
      <w:tr w:rsidR="00EC77FA" w:rsidTr="00EC77FA">
        <w:trPr>
          <w:trHeight w:val="1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Financování: pol. 8115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2 400 000,--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2 500 000,--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1 000 000,--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500 000,--</w:t>
            </w:r>
          </w:p>
        </w:tc>
      </w:tr>
      <w:tr w:rsidR="00EC77FA" w:rsidTr="00EC77FA">
        <w:trPr>
          <w:trHeight w:val="3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Příjmy celkem včetně financování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7 379 000,--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7 489 000,--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5 994 000,--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5 494 000,--</w:t>
            </w:r>
          </w:p>
        </w:tc>
      </w:tr>
      <w:tr w:rsidR="00EC77FA" w:rsidTr="00EC77FA">
        <w:trPr>
          <w:trHeight w:val="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FA" w:rsidRDefault="00EC77FA" w:rsidP="00EC77FA">
            <w:pPr>
              <w:spacing w:line="240" w:lineRule="auto"/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5 379 000,--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4 989 000,--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5 379 000,--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5 379 000,--</w:t>
            </w:r>
          </w:p>
        </w:tc>
      </w:tr>
      <w:tr w:rsidR="00EC77FA" w:rsidTr="00EC77FA">
        <w:trPr>
          <w:trHeight w:val="4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2 000 000,--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2 500 000,--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615 000,--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615 000,--</w:t>
            </w:r>
          </w:p>
        </w:tc>
      </w:tr>
      <w:tr w:rsidR="00EC77FA" w:rsidTr="00EC77FA">
        <w:trPr>
          <w:trHeight w:val="40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7 379 000,--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7 489 000,--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5 994 000,--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5 494 000,--</w:t>
            </w:r>
          </w:p>
        </w:tc>
      </w:tr>
      <w:tr w:rsidR="00EC77FA" w:rsidTr="00EC77F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Financování: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0,--</w:t>
            </w:r>
          </w:p>
        </w:tc>
      </w:tr>
      <w:tr w:rsidR="00EC77FA" w:rsidTr="00EC77FA">
        <w:trPr>
          <w:trHeight w:val="3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Výdaje celkem včetně financování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7 379 000,--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7 489 000,--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5 994 000,--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FA" w:rsidRDefault="00EC77FA" w:rsidP="00EC77FA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5 494 000,--</w:t>
            </w:r>
          </w:p>
        </w:tc>
      </w:tr>
    </w:tbl>
    <w:p w:rsidR="00CF42AF" w:rsidRDefault="00EC77FA">
      <w:pPr>
        <w:rPr>
          <w:rFonts w:ascii="Century Gothic" w:hAnsi="Century Gothic"/>
          <w:b/>
          <w:sz w:val="32"/>
          <w:szCs w:val="32"/>
        </w:rPr>
      </w:pPr>
      <w:r w:rsidRPr="00EC77FA">
        <w:rPr>
          <w:rFonts w:ascii="Century Gothic" w:hAnsi="Century Gothic"/>
          <w:b/>
          <w:sz w:val="32"/>
          <w:szCs w:val="32"/>
        </w:rPr>
        <w:t>ROZPOČTOVÝ VÝHLED na období 2017 – 2020</w:t>
      </w:r>
    </w:p>
    <w:p w:rsidR="00EC77FA" w:rsidRPr="00EC77FA" w:rsidRDefault="00EC77FA">
      <w:pPr>
        <w:rPr>
          <w:rFonts w:ascii="Century Gothic" w:hAnsi="Century Gothic"/>
          <w:b/>
          <w:sz w:val="32"/>
          <w:szCs w:val="32"/>
        </w:rPr>
      </w:pP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Schváleno: usnesení č. 42/2016 ze dne 24.11. 2016</w:t>
      </w: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Vyvěšeno:  15.3. 2016</w:t>
      </w: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Sejmuto:</w:t>
      </w: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Zveřejněno: </w:t>
      </w:r>
      <w:r w:rsidR="003B1B42">
        <w:rPr>
          <w:rFonts w:ascii="Century Gothic" w:hAnsi="Century Gothic"/>
          <w:b/>
          <w:sz w:val="28"/>
          <w:szCs w:val="28"/>
        </w:rPr>
        <w:t xml:space="preserve">            </w:t>
      </w:r>
      <w:bookmarkStart w:id="0" w:name="_GoBack"/>
      <w:bookmarkEnd w:id="0"/>
      <w:r w:rsidRPr="00EC77FA">
        <w:rPr>
          <w:rFonts w:ascii="Century Gothic" w:hAnsi="Century Gothic"/>
          <w:b/>
          <w:sz w:val="28"/>
          <w:szCs w:val="28"/>
        </w:rPr>
        <w:t xml:space="preserve"> </w:t>
      </w:r>
      <w:hyperlink r:id="rId4" w:history="1">
        <w:r w:rsidRPr="00EC77FA">
          <w:rPr>
            <w:rStyle w:val="Hypertextovodkaz"/>
            <w:rFonts w:ascii="Century Gothic" w:hAnsi="Century Gothic"/>
            <w:b/>
            <w:color w:val="auto"/>
            <w:sz w:val="28"/>
            <w:szCs w:val="28"/>
            <w:u w:val="none"/>
          </w:rPr>
          <w:t>www.lipoltice.cz</w:t>
        </w:r>
      </w:hyperlink>
      <w:r w:rsidRPr="00EC77FA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→ úřední deska</w:t>
      </w:r>
    </w:p>
    <w:p w:rsidR="00EC77FA" w:rsidRDefault="00EC77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V listinné podobě: </w:t>
      </w:r>
      <w:r w:rsidR="003B1B42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b/>
          <w:sz w:val="28"/>
          <w:szCs w:val="28"/>
        </w:rPr>
        <w:t xml:space="preserve"> Obecní úřad Lipoltice č.p. 2</w:t>
      </w:r>
    </w:p>
    <w:p w:rsidR="00EC77FA" w:rsidRPr="00EC77FA" w:rsidRDefault="00EC77FA">
      <w:pPr>
        <w:rPr>
          <w:rFonts w:ascii="Century Gothic" w:hAnsi="Century Gothic"/>
          <w:b/>
          <w:sz w:val="28"/>
          <w:szCs w:val="28"/>
        </w:rPr>
      </w:pPr>
    </w:p>
    <w:sectPr w:rsidR="00EC77FA" w:rsidRPr="00EC77FA" w:rsidSect="00B4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C77FA"/>
    <w:rsid w:val="003B1B42"/>
    <w:rsid w:val="00512DEC"/>
    <w:rsid w:val="00B43061"/>
    <w:rsid w:val="00CF42AF"/>
    <w:rsid w:val="00EC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7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77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pol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doma</cp:lastModifiedBy>
  <cp:revision>2</cp:revision>
  <dcterms:created xsi:type="dcterms:W3CDTF">2017-09-16T16:08:00Z</dcterms:created>
  <dcterms:modified xsi:type="dcterms:W3CDTF">2017-09-16T16:08:00Z</dcterms:modified>
</cp:coreProperties>
</file>